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09" w:rsidRPr="00EF4F44" w:rsidRDefault="00B16109" w:rsidP="00B16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B16109" w:rsidRPr="00EF4F44" w:rsidRDefault="00E82E1A" w:rsidP="00B1610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B16109" w:rsidRDefault="00A74E7A" w:rsidP="00B16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121</w:t>
      </w:r>
      <w:r w:rsidR="00B16109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B1610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ЕП</w:t>
      </w:r>
      <w:r w:rsidR="00B16109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</w:t>
      </w:r>
      <w:r w:rsidR="00B16109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3B369E" w:rsidRPr="00EF4F44" w:rsidRDefault="003B369E" w:rsidP="00B16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</w:p>
    <w:p w:rsidR="00B16109" w:rsidRDefault="00B16109" w:rsidP="003E3748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B6358">
        <w:rPr>
          <w:rFonts w:ascii="Arial" w:hAnsi="Arial" w:cs="Arial"/>
          <w:sz w:val="20"/>
          <w:szCs w:val="20"/>
          <w:lang w:val="en-US"/>
        </w:rPr>
        <w:t>ОТНОСНО:</w:t>
      </w:r>
      <w:r w:rsidR="00A74E7A">
        <w:rPr>
          <w:rFonts w:ascii="Arial" w:hAnsi="Arial" w:cs="Arial"/>
          <w:sz w:val="20"/>
          <w:szCs w:val="20"/>
        </w:rPr>
        <w:t xml:space="preserve"> 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</w:t>
      </w:r>
      <w:r w:rsidRPr="00EB6358">
        <w:rPr>
          <w:rFonts w:ascii="Arial" w:hAnsi="Arial" w:cs="Arial"/>
          <w:sz w:val="20"/>
          <w:szCs w:val="20"/>
        </w:rPr>
        <w:t xml:space="preserve"> </w:t>
      </w:r>
      <w:r w:rsidR="00A74E7A">
        <w:rPr>
          <w:rFonts w:ascii="Arial" w:hAnsi="Arial" w:cs="Arial"/>
          <w:sz w:val="20"/>
          <w:szCs w:val="20"/>
        </w:rPr>
        <w:t xml:space="preserve"> - Монтана в изборите на </w:t>
      </w:r>
      <w:r w:rsidRPr="00EB6358">
        <w:rPr>
          <w:rFonts w:ascii="Arial" w:hAnsi="Arial" w:cs="Arial"/>
          <w:sz w:val="20"/>
          <w:szCs w:val="20"/>
        </w:rPr>
        <w:t>Европейския парламент от Република България на 26 май 2019 г.</w:t>
      </w:r>
      <w:r w:rsidRPr="00EB6358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B369E" w:rsidRPr="003E3748" w:rsidRDefault="003B369E" w:rsidP="003E3748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3E3748" w:rsidRPr="003E3748" w:rsidRDefault="003E3748" w:rsidP="003E374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 w:rsidRPr="003E3748">
        <w:rPr>
          <w:rFonts w:ascii="Arial" w:hAnsi="Arial" w:cs="Arial"/>
          <w:color w:val="333333"/>
          <w:sz w:val="20"/>
          <w:szCs w:val="20"/>
          <w:lang w:val="bg-BG"/>
        </w:rPr>
        <w:t>Постъпило е в РИК 12 – Монтана искане от Областна администрация /ОА/ и ОД на МВР за съгласуване на транспортна схема с процедури по прием на СИК от МИР 12 в нощ</w:t>
      </w:r>
      <w:r>
        <w:rPr>
          <w:rFonts w:ascii="Arial" w:hAnsi="Arial" w:cs="Arial"/>
          <w:color w:val="333333"/>
          <w:sz w:val="20"/>
          <w:szCs w:val="20"/>
          <w:lang w:val="bg-BG"/>
        </w:rPr>
        <w:t>т</w:t>
      </w:r>
      <w:r w:rsidRPr="003E3748">
        <w:rPr>
          <w:rFonts w:ascii="Arial" w:hAnsi="Arial" w:cs="Arial"/>
          <w:color w:val="333333"/>
          <w:sz w:val="20"/>
          <w:szCs w:val="20"/>
          <w:lang w:val="bg-BG"/>
        </w:rPr>
        <w:t>а на изборите, до предаване на изборните книжата на комисиите по чл. 287, ал.7.</w:t>
      </w:r>
    </w:p>
    <w:p w:rsidR="003E3748" w:rsidRPr="003E3748" w:rsidRDefault="003E3748" w:rsidP="003E374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 w:rsidRPr="003E3748">
        <w:rPr>
          <w:rFonts w:ascii="Arial" w:hAnsi="Arial" w:cs="Arial"/>
          <w:color w:val="333333"/>
          <w:sz w:val="20"/>
          <w:szCs w:val="20"/>
          <w:lang w:val="bg-BG"/>
        </w:rPr>
        <w:t>На 21.05.2019г., в точка разни на заседание на РИК, бяха систематизирани действия и процедури за прием и контрол при приемане и отчитане на вота на избирателите, при спазване изискванията на ИК. Предложен бе план за действие, който бе приет след съгласуване с ОА и ОД на МВР Монтана.</w:t>
      </w:r>
    </w:p>
    <w:p w:rsidR="003B369E" w:rsidRDefault="003E3748" w:rsidP="00F6691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На основания чл.72, ал.1</w:t>
      </w:r>
      <w:r w:rsidR="007715AA">
        <w:rPr>
          <w:rFonts w:ascii="Verdana" w:hAnsi="Verdana" w:cs="Helvetica"/>
          <w:color w:val="333333"/>
          <w:sz w:val="20"/>
          <w:szCs w:val="20"/>
          <w:lang w:val="bg-BG"/>
        </w:rPr>
        <w:t xml:space="preserve">, т. 1 и т.2, и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следващите от ИК, РАЙОННА ИЗБИРАТЕЛНА КОМИСИЯ– Монтана.</w:t>
      </w:r>
    </w:p>
    <w:p w:rsidR="00B16109" w:rsidRPr="00EB6358" w:rsidRDefault="00B16109" w:rsidP="00B161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16109" w:rsidRPr="00EB6358" w:rsidRDefault="00B16109" w:rsidP="00B161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3E3748" w:rsidRDefault="003E3748" w:rsidP="003E374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57368">
        <w:rPr>
          <w:rFonts w:ascii="Verdana" w:hAnsi="Verdana" w:cs="Helvetica"/>
          <w:b/>
          <w:color w:val="333333"/>
          <w:sz w:val="20"/>
          <w:szCs w:val="20"/>
          <w:lang w:val="bg-BG"/>
        </w:rPr>
        <w:t>Задължения на общините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:</w:t>
      </w:r>
    </w:p>
    <w:p w:rsidR="003E3748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</w:rPr>
        <w:t>O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рганизират транспортирането на СИК от помещението в което е работила съответната СИК до Театър „Драгомир Асенов” гр. Монтана и обратно.</w:t>
      </w:r>
    </w:p>
    <w:p w:rsidR="003E3748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</w:rPr>
        <w:t>O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сигуряват придружител на всяко транспортно средство с повече от една СИК, като придружителя отговаря солидарно с членовете на СИК за изборните книжа на секциите в транспортното средство. /за тази цел кмета на общината издава заповед/.</w:t>
      </w:r>
    </w:p>
    <w:p w:rsidR="003E3748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Придружителите на транспортните средства се грижат тези средства да следват автомобила на МВР, като по този начин ще се избегне объркване на маршрута за придвижване.</w:t>
      </w:r>
    </w:p>
    <w:p w:rsidR="003E3748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Придружителят на транспортното средство се задължава да обяви времето на тръгване в момента на потегляне, за да се осигури маршрута за приемане на СИК в гр. Монтана.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 </w:t>
      </w:r>
    </w:p>
    <w:p w:rsidR="003E3748" w:rsidRPr="00E82E1A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lastRenderedPageBreak/>
        <w:t>Раздаването на номера за приемане от РИК ще се извършва в самото транспортно средство, след пристигането му пред театър „Драгомир Асенов” – входа от към ПМГ /север/, след предаване на списък на секциите от придружителя. Номера без присъствие на членовете на СИК няма да бъдат раздавани.</w:t>
      </w:r>
    </w:p>
    <w:p w:rsidR="003E3748" w:rsidRPr="00E82E1A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За община Монтана важи същата схема за приемане, входа на театър „Драгомир Асенов” от към ПМГ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3E3748" w:rsidRPr="00E82E1A" w:rsidRDefault="003E3748" w:rsidP="003E374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Организират звено за получаване на текуща информация от СИК и предаването и в обобщен вид на Областна Администрация /ОА/.</w:t>
      </w:r>
    </w:p>
    <w:p w:rsidR="003E3748" w:rsidRPr="00E82E1A" w:rsidRDefault="003E3748" w:rsidP="003E3748">
      <w:pPr>
        <w:pStyle w:val="a6"/>
        <w:shd w:val="clear" w:color="auto" w:fill="FFFFFF"/>
        <w:spacing w:before="0" w:beforeAutospacing="0" w:after="0" w:afterAutospacing="0"/>
        <w:ind w:left="1776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</w:p>
    <w:p w:rsidR="003E3748" w:rsidRPr="00E82E1A" w:rsidRDefault="003E3748" w:rsidP="003E3748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</w:p>
    <w:p w:rsidR="003E3748" w:rsidRPr="00E82E1A" w:rsidRDefault="003E3748" w:rsidP="003E374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b/>
          <w:color w:val="333333"/>
          <w:sz w:val="18"/>
          <w:szCs w:val="18"/>
          <w:lang w:val="bg-BG"/>
        </w:rPr>
        <w:t>Задължения на Областна администрация</w:t>
      </w: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: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в театър „Драгомир Асенов” – голяма зала, фоайе първи етаж и фоайе втори етаж на театъра. Осигурява и отопление при нужда.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двама служители в театъра, в помощ на представителите на РИК – Монтана.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СИК.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осем маси с по два стола, разположени в коридора на втори етаж. Десет броя кашони с размера на пликовете за списъците /А3/ или по-големи.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медицинско присъствие в нощта на изборите.</w:t>
      </w:r>
    </w:p>
    <w:p w:rsidR="003E3748" w:rsidRPr="00E82E1A" w:rsidRDefault="003E3748" w:rsidP="003E374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 звено за обобщаване на информацията от Общините и след обобщение да се предава на РИК.</w:t>
      </w:r>
    </w:p>
    <w:p w:rsidR="003E3748" w:rsidRPr="00E82E1A" w:rsidRDefault="003E3748" w:rsidP="003E3748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</w:p>
    <w:p w:rsidR="003E3748" w:rsidRPr="00E82E1A" w:rsidRDefault="003E3748" w:rsidP="003B369E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 xml:space="preserve"> </w:t>
      </w:r>
      <w:r w:rsidRPr="00E82E1A">
        <w:rPr>
          <w:rFonts w:ascii="Verdana" w:hAnsi="Verdana" w:cs="Helvetica"/>
          <w:b/>
          <w:color w:val="333333"/>
          <w:sz w:val="18"/>
          <w:szCs w:val="18"/>
          <w:lang w:val="bg-BG"/>
        </w:rPr>
        <w:t>Задължения на МВР</w:t>
      </w: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:</w:t>
      </w:r>
    </w:p>
    <w:p w:rsidR="003E3748" w:rsidRPr="00E82E1A" w:rsidRDefault="003E3748" w:rsidP="003E374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Осигуряват придружаването на транспортните средства до приемането на СИК в театър „Драгомир Асенов” при строго спазване на предвидените маршрути за придвижване.</w:t>
      </w:r>
    </w:p>
    <w:p w:rsidR="003E3748" w:rsidRPr="00E82E1A" w:rsidRDefault="003E3748" w:rsidP="003E374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Осигуряват входовете на театъра, придвижването на СИК от театъра до ОА и обратно в транспортните средства /за секциите от другите общини/.</w:t>
      </w:r>
    </w:p>
    <w:p w:rsidR="003E3748" w:rsidRPr="00E82E1A" w:rsidRDefault="003E3748" w:rsidP="003E374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Осигуряват връзка между член на РИК в ОА и член на РИК в театъра за довеждане на СИК.</w:t>
      </w:r>
    </w:p>
    <w:p w:rsidR="003E3748" w:rsidRPr="00E82E1A" w:rsidRDefault="003E3748" w:rsidP="003E374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Осигуряват паркинг „Алеко Константинов” за паркиране на транспортните средства от другите общини.</w:t>
      </w:r>
    </w:p>
    <w:p w:rsidR="003E3748" w:rsidRPr="00E82E1A" w:rsidRDefault="003E3748" w:rsidP="003E374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18"/>
          <w:szCs w:val="18"/>
          <w:lang w:val="bg-BG"/>
        </w:rPr>
      </w:pPr>
      <w:r w:rsidRPr="00E82E1A">
        <w:rPr>
          <w:rFonts w:ascii="Verdana" w:hAnsi="Verdana" w:cs="Helvetica"/>
          <w:color w:val="333333"/>
          <w:sz w:val="18"/>
          <w:szCs w:val="18"/>
          <w:lang w:val="bg-BG"/>
        </w:rPr>
        <w:t>Осигуряват паркинга на театъра за безпроблемно преминаване на транспортните средства, извозващи СИК.</w:t>
      </w:r>
    </w:p>
    <w:p w:rsidR="003E3748" w:rsidRPr="00E82E1A" w:rsidRDefault="003B369E" w:rsidP="003E3748">
      <w:pPr>
        <w:jc w:val="both"/>
        <w:rPr>
          <w:sz w:val="18"/>
          <w:szCs w:val="18"/>
        </w:rPr>
      </w:pPr>
      <w:r w:rsidRPr="00E82E1A">
        <w:rPr>
          <w:sz w:val="18"/>
          <w:szCs w:val="18"/>
        </w:rPr>
        <w:t xml:space="preserve">      </w:t>
      </w:r>
      <w:r w:rsidR="003E3748" w:rsidRPr="00E82E1A">
        <w:rPr>
          <w:sz w:val="18"/>
          <w:szCs w:val="18"/>
        </w:rPr>
        <w:t>Неразделна част от това решение е одобрен и заверен от Областна Администрация Монтана, Областна дирекция на МВР и РИК – Монтана план за действия в нощта на изборите на 26.05.2019г.</w:t>
      </w:r>
    </w:p>
    <w:p w:rsidR="003E3748" w:rsidRPr="00E82E1A" w:rsidRDefault="003E3748" w:rsidP="003B369E">
      <w:pPr>
        <w:shd w:val="clear" w:color="auto" w:fill="FFFFFF"/>
        <w:spacing w:after="104" w:line="209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E82E1A"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  Ре</w:t>
      </w:r>
      <w:r w:rsidR="003B369E" w:rsidRPr="00E82E1A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шението не подлежи на оспорване.</w:t>
      </w:r>
    </w:p>
    <w:p w:rsidR="00B16109" w:rsidRPr="00E82E1A" w:rsidRDefault="00B16109" w:rsidP="00F66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B16109" w:rsidRPr="00E82E1A" w:rsidRDefault="00B16109" w:rsidP="00B16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82E1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Председател: </w:t>
      </w:r>
    </w:p>
    <w:p w:rsidR="00B16109" w:rsidRPr="00E82E1A" w:rsidRDefault="00B16109" w:rsidP="00B16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82E1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    /Валери Димитров/</w:t>
      </w:r>
    </w:p>
    <w:p w:rsidR="00B16109" w:rsidRPr="00E82E1A" w:rsidRDefault="00B16109" w:rsidP="00B16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82E1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Секретар: </w:t>
      </w:r>
    </w:p>
    <w:p w:rsidR="00B16109" w:rsidRPr="00E82E1A" w:rsidRDefault="00B16109" w:rsidP="00B16109">
      <w:pPr>
        <w:rPr>
          <w:sz w:val="18"/>
          <w:szCs w:val="18"/>
        </w:rPr>
      </w:pPr>
      <w:r w:rsidRPr="00E82E1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/Галина Младенова/</w:t>
      </w:r>
    </w:p>
    <w:p w:rsidR="004560FB" w:rsidRDefault="004560FB">
      <w:pPr>
        <w:rPr>
          <w:sz w:val="16"/>
          <w:szCs w:val="16"/>
        </w:rPr>
      </w:pPr>
    </w:p>
    <w:p w:rsidR="00E82E1A" w:rsidRPr="00433D3D" w:rsidRDefault="00E82E1A" w:rsidP="00E82E1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2E1A" w:rsidRPr="00433D3D" w:rsidRDefault="00E82E1A" w:rsidP="00E82E1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E82E1A" w:rsidRDefault="00E82E1A" w:rsidP="00E82E1A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E82E1A" w:rsidRPr="001C52AE" w:rsidRDefault="00E82E1A">
      <w:pPr>
        <w:rPr>
          <w:sz w:val="16"/>
          <w:szCs w:val="16"/>
        </w:rPr>
      </w:pPr>
      <w:bookmarkStart w:id="0" w:name="_GoBack"/>
      <w:bookmarkEnd w:id="0"/>
    </w:p>
    <w:sectPr w:rsidR="00E82E1A" w:rsidRPr="001C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9E290D"/>
    <w:multiLevelType w:val="hybridMultilevel"/>
    <w:tmpl w:val="99968D04"/>
    <w:lvl w:ilvl="0" w:tplc="8AB6C9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36D9"/>
    <w:multiLevelType w:val="hybridMultilevel"/>
    <w:tmpl w:val="7D9E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9"/>
    <w:rsid w:val="0003779F"/>
    <w:rsid w:val="00077C21"/>
    <w:rsid w:val="000A7BB0"/>
    <w:rsid w:val="001C52AE"/>
    <w:rsid w:val="003B369E"/>
    <w:rsid w:val="003E3748"/>
    <w:rsid w:val="004560FB"/>
    <w:rsid w:val="007715AA"/>
    <w:rsid w:val="00963416"/>
    <w:rsid w:val="00A74E7A"/>
    <w:rsid w:val="00B16109"/>
    <w:rsid w:val="00C27840"/>
    <w:rsid w:val="00E82E1A"/>
    <w:rsid w:val="00EB6358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8AB57"/>
  <w15:chartTrackingRefBased/>
  <w15:docId w15:val="{0F2672C3-DC94-42F1-9FAF-030451A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0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358"/>
    <w:rPr>
      <w:rFonts w:ascii="Segoe UI" w:eastAsia="Calibr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3E3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13</cp:revision>
  <cp:lastPrinted>2019-05-21T11:59:00Z</cp:lastPrinted>
  <dcterms:created xsi:type="dcterms:W3CDTF">2019-05-20T13:39:00Z</dcterms:created>
  <dcterms:modified xsi:type="dcterms:W3CDTF">2019-05-21T12:00:00Z</dcterms:modified>
</cp:coreProperties>
</file>