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60" w:rsidRDefault="00657660" w:rsidP="00657660">
      <w:pPr>
        <w:spacing w:after="0" w:line="240" w:lineRule="auto"/>
        <w:jc w:val="center"/>
        <w:rPr>
          <w:b/>
        </w:rPr>
      </w:pPr>
      <w:r>
        <w:rPr>
          <w:b/>
        </w:rPr>
        <w:t>ИЗБОРИ ЗА ЕВРОПЕЙСКИ ПАРЛАМЕНТ НА 26.05.2019 Г.</w:t>
      </w:r>
    </w:p>
    <w:p w:rsidR="00657660" w:rsidRPr="00940771" w:rsidRDefault="00657660" w:rsidP="00657660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657660" w:rsidRPr="00940771" w:rsidRDefault="00657660" w:rsidP="0065766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07.05.2019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657660" w:rsidRPr="00940771" w:rsidRDefault="00657660" w:rsidP="0065766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657660" w:rsidRPr="00650559" w:rsidRDefault="00657660" w:rsidP="0065766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>
        <w:rPr>
          <w:rFonts w:ascii="Verdana" w:hAnsi="Verdana"/>
          <w:b/>
          <w:sz w:val="20"/>
          <w:szCs w:val="20"/>
          <w:lang w:val="en-US"/>
        </w:rPr>
        <w:t>1</w:t>
      </w:r>
      <w:r>
        <w:rPr>
          <w:rFonts w:ascii="Verdana" w:hAnsi="Verdana"/>
          <w:b/>
          <w:sz w:val="20"/>
          <w:szCs w:val="20"/>
        </w:rPr>
        <w:t>6</w:t>
      </w:r>
    </w:p>
    <w:p w:rsidR="00657660" w:rsidRPr="00940771" w:rsidRDefault="00657660" w:rsidP="00657660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657660" w:rsidRPr="00940771" w:rsidRDefault="00657660" w:rsidP="00657660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57660" w:rsidRPr="00940771" w:rsidRDefault="00657660" w:rsidP="00657660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8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6076"/>
        <w:gridCol w:w="793"/>
      </w:tblGrid>
      <w:tr w:rsidR="00657660" w:rsidRPr="00940771" w:rsidTr="009F3754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60" w:rsidRPr="00940771" w:rsidRDefault="00657660" w:rsidP="009F3754">
            <w:pPr>
              <w:spacing w:line="360" w:lineRule="auto"/>
              <w:ind w:right="-113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60" w:rsidRPr="00940771" w:rsidRDefault="00657660" w:rsidP="00325D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60" w:rsidRPr="00940771" w:rsidRDefault="00657660" w:rsidP="00325DC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657660" w:rsidRPr="00940771" w:rsidTr="009F3754">
        <w:trPr>
          <w:trHeight w:val="67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0" w:rsidRPr="00940771" w:rsidRDefault="00657660" w:rsidP="00325D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0" w:rsidRPr="00940771" w:rsidRDefault="00657660" w:rsidP="00D110E1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63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 w:rsidRPr="009452C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D110E1">
              <w:rPr>
                <w:rFonts w:ascii="Arial" w:hAnsi="Arial" w:cs="Arial"/>
                <w:color w:val="333333"/>
                <w:sz w:val="20"/>
                <w:szCs w:val="20"/>
              </w:rPr>
              <w:t>о</w:t>
            </w:r>
            <w:r w:rsidRPr="007B6C16">
              <w:rPr>
                <w:rFonts w:ascii="Arial" w:hAnsi="Arial" w:cs="Arial"/>
                <w:color w:val="333333"/>
                <w:sz w:val="20"/>
                <w:szCs w:val="20"/>
              </w:rPr>
              <w:t>съществяване на контрол при предаването и приемането на изборните книжа – удостоверения и др., отпечатаните хартиени бюлетини, контролиране и съпровождане на транспортните средства до Областна администрация – Монтана</w:t>
            </w:r>
            <w:r w:rsidRPr="009452C4">
              <w:rPr>
                <w:rFonts w:ascii="Arial" w:hAnsi="Arial" w:cs="Arial"/>
                <w:color w:val="333333"/>
                <w:sz w:val="20"/>
                <w:szCs w:val="20"/>
              </w:rPr>
              <w:t xml:space="preserve"> за произвеждане на изборите за членове на Европейския парламент от Република България на 26 май 2019 г.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0" w:rsidRPr="00940771" w:rsidRDefault="00657660" w:rsidP="00325DC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57660" w:rsidRPr="00940771" w:rsidTr="009F3754">
        <w:trPr>
          <w:trHeight w:val="68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0" w:rsidRPr="008352CF" w:rsidRDefault="00657660" w:rsidP="00325DC5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0" w:rsidRPr="00940771" w:rsidRDefault="00657660" w:rsidP="00257E4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0771"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0771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№ 6</w:t>
            </w:r>
            <w:r w:rsidR="00D110E1">
              <w:rPr>
                <w:rFonts w:ascii="Verdana" w:hAnsi="Verdana"/>
                <w:b/>
                <w:color w:val="0000FF"/>
                <w:sz w:val="20"/>
                <w:szCs w:val="20"/>
                <w:lang w:val="bg-BG"/>
              </w:rPr>
              <w:t>4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0771">
              <w:rPr>
                <w:rFonts w:ascii="Verdana" w:hAnsi="Verdana"/>
                <w:sz w:val="20"/>
                <w:szCs w:val="20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110E1">
              <w:rPr>
                <w:rFonts w:ascii="Verdana" w:hAnsi="Verdana"/>
                <w:sz w:val="20"/>
                <w:szCs w:val="20"/>
                <w:lang w:val="bg-BG"/>
              </w:rPr>
              <w:t>о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добряване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тиража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бюлетините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за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изборен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район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  <w:lang w:val="bg-BG"/>
              </w:rPr>
              <w:t>12 - Монтан</w:t>
            </w:r>
            <w:r w:rsidR="00257E46">
              <w:rPr>
                <w:rFonts w:ascii="Arial" w:hAnsi="Arial" w:cs="Arial"/>
                <w:color w:val="333333"/>
                <w:sz w:val="20"/>
                <w:szCs w:val="20"/>
                <w:lang w:val="bg-BG"/>
              </w:rPr>
              <w:t>а</w:t>
            </w:r>
            <w:bookmarkStart w:id="0" w:name="_GoBack"/>
            <w:bookmarkEnd w:id="0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за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произвеждане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избори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за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членове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Европейския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парламент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от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Република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България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26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май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2019г.</w:t>
            </w:r>
            <w:r w:rsidR="00D110E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0" w:rsidRPr="00940771" w:rsidRDefault="00657660" w:rsidP="00325DC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57660" w:rsidRPr="00940771" w:rsidTr="009F3754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0" w:rsidRPr="008352CF" w:rsidRDefault="00657660" w:rsidP="00325DC5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0" w:rsidRPr="00973DBF" w:rsidRDefault="00657660" w:rsidP="00092BF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Проект</w:t>
            </w:r>
            <w:proofErr w:type="spellEnd"/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№ 6</w:t>
            </w:r>
            <w:r w:rsidR="00D110E1">
              <w:rPr>
                <w:rFonts w:ascii="Verdana" w:hAnsi="Verdana"/>
                <w:b/>
                <w:color w:val="0000FF"/>
                <w:sz w:val="20"/>
                <w:szCs w:val="20"/>
              </w:rPr>
              <w:t>5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10E1">
              <w:rPr>
                <w:rFonts w:ascii="Arial" w:hAnsi="Arial" w:cs="Arial"/>
                <w:color w:val="333333"/>
                <w:sz w:val="20"/>
                <w:szCs w:val="20"/>
              </w:rPr>
              <w:t>о</w:t>
            </w:r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добряване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="00D110E1">
              <w:rPr>
                <w:rFonts w:ascii="Arial" w:hAnsi="Arial" w:cs="Arial"/>
                <w:color w:val="333333"/>
                <w:sz w:val="20"/>
                <w:szCs w:val="20"/>
                <w:lang w:val="bg-BG"/>
              </w:rPr>
              <w:t xml:space="preserve"> чернови за отпечатване на предпочитанията /преференциите/</w:t>
            </w:r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за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произвеждане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избори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за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членове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Европейския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парламент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от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Република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България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26 </w:t>
            </w:r>
            <w:proofErr w:type="spellStart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>май</w:t>
            </w:r>
            <w:proofErr w:type="spellEnd"/>
            <w:r w:rsidR="00D110E1"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2019г.</w:t>
            </w:r>
            <w:r w:rsidR="00D11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0" w:rsidRPr="00940771" w:rsidRDefault="00657660" w:rsidP="00325DC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F3754" w:rsidRPr="00940771" w:rsidTr="0031540B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54" w:rsidRPr="008352CF" w:rsidRDefault="009F3754" w:rsidP="0031540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54" w:rsidRPr="00973DBF" w:rsidRDefault="009F3754" w:rsidP="0031540B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66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о</w:t>
            </w:r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добряване на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размери на </w:t>
            </w:r>
            <w:r w:rsidRPr="0061756D">
              <w:rPr>
                <w:rFonts w:ascii="Arial" w:hAnsi="Arial" w:cs="Arial"/>
                <w:color w:val="333333"/>
                <w:sz w:val="20"/>
                <w:szCs w:val="20"/>
              </w:rPr>
              <w:t>информационни табла на СИК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за произвеждане на  </w:t>
            </w:r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избори за членове на Европейския парламент от Република България на 26 май 2019г.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54" w:rsidRPr="00940771" w:rsidRDefault="009F3754" w:rsidP="0031540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57660" w:rsidRPr="00940771" w:rsidTr="009F3754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0" w:rsidRPr="008352CF" w:rsidRDefault="009F3754" w:rsidP="00325DC5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65766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0" w:rsidRPr="00973DBF" w:rsidRDefault="00657660" w:rsidP="009F3754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6</w:t>
            </w:r>
            <w:r w:rsidR="009F3754">
              <w:rPr>
                <w:rFonts w:ascii="Verdana" w:hAnsi="Verdana"/>
                <w:b/>
                <w:color w:val="0000FF"/>
                <w:sz w:val="20"/>
                <w:szCs w:val="20"/>
              </w:rPr>
              <w:t>7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 w:rsidR="009F3754">
              <w:rPr>
                <w:rFonts w:ascii="Arial" w:hAnsi="Arial" w:cs="Arial"/>
                <w:color w:val="333333"/>
                <w:sz w:val="20"/>
                <w:szCs w:val="20"/>
              </w:rPr>
              <w:t xml:space="preserve">методически указания на Централната избирателна комисия по прилагане на Изборния кодекс за секционните избирателни комисии за произвеждане на  </w:t>
            </w:r>
            <w:r w:rsidR="009F3754" w:rsidRPr="00EB0B8F">
              <w:rPr>
                <w:rFonts w:ascii="Arial" w:hAnsi="Arial" w:cs="Arial"/>
                <w:color w:val="333333"/>
                <w:sz w:val="20"/>
                <w:szCs w:val="20"/>
              </w:rPr>
              <w:t>избори за членове на Европейския парламент от Република България на 26 май 2019г.</w:t>
            </w:r>
            <w:r w:rsidR="009F3754">
              <w:rPr>
                <w:rFonts w:ascii="Arial" w:hAnsi="Arial" w:cs="Arial"/>
                <w:color w:val="333333"/>
                <w:sz w:val="20"/>
                <w:szCs w:val="20"/>
              </w:rPr>
              <w:t xml:space="preserve"> При гласуване с хартиени бюлетини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0" w:rsidRPr="00940771" w:rsidRDefault="00657660" w:rsidP="00325DC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F3754" w:rsidRPr="00940771" w:rsidTr="009F3754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54" w:rsidRPr="00973DBF" w:rsidRDefault="009F3754" w:rsidP="00092BFE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973DB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54" w:rsidRPr="009F3754" w:rsidRDefault="009F3754" w:rsidP="00092B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54" w:rsidRPr="00973DBF" w:rsidRDefault="009F3754" w:rsidP="00092BFE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57660" w:rsidRDefault="00657660" w:rsidP="00657660"/>
    <w:p w:rsidR="00657660" w:rsidRDefault="00657660" w:rsidP="00657660"/>
    <w:p w:rsidR="00657660" w:rsidRDefault="00657660" w:rsidP="00657660"/>
    <w:p w:rsidR="00657660" w:rsidRDefault="00657660" w:rsidP="00657660"/>
    <w:p w:rsidR="00657660" w:rsidRDefault="00657660" w:rsidP="00657660"/>
    <w:p w:rsidR="00657660" w:rsidRDefault="00657660" w:rsidP="00657660"/>
    <w:p w:rsidR="004560FB" w:rsidRDefault="004560FB"/>
    <w:sectPr w:rsidR="004560FB" w:rsidSect="009F375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60"/>
    <w:rsid w:val="00092BFE"/>
    <w:rsid w:val="00257E46"/>
    <w:rsid w:val="004560FB"/>
    <w:rsid w:val="00657660"/>
    <w:rsid w:val="00696029"/>
    <w:rsid w:val="008B589A"/>
    <w:rsid w:val="009F3754"/>
    <w:rsid w:val="00AF52B9"/>
    <w:rsid w:val="00C27840"/>
    <w:rsid w:val="00D1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A55D"/>
  <w15:docId w15:val="{4723442F-15E5-43CF-8117-89188490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6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0E1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dcterms:created xsi:type="dcterms:W3CDTF">2019-05-07T12:44:00Z</dcterms:created>
  <dcterms:modified xsi:type="dcterms:W3CDTF">2019-05-07T14:18:00Z</dcterms:modified>
</cp:coreProperties>
</file>